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8"/>
        <w:jc w:val="right"/>
        <w:outlineLvl w:val="0"/>
      </w:pPr>
      <w:r>
        <w:t xml:space="preserve">Утвержден</w:t>
      </w:r>
      <w:r/>
    </w:p>
    <w:p>
      <w:pPr>
        <w:pStyle w:val="708"/>
        <w:jc w:val="right"/>
      </w:pPr>
      <w:r>
        <w:t xml:space="preserve">постановлением Правительства</w:t>
      </w:r>
      <w:r/>
    </w:p>
    <w:p>
      <w:pPr>
        <w:pStyle w:val="708"/>
        <w:jc w:val="right"/>
      </w:pPr>
      <w:r>
        <w:t xml:space="preserve">Российской Федерации</w:t>
      </w:r>
      <w:r/>
    </w:p>
    <w:p>
      <w:pPr>
        <w:pStyle w:val="708"/>
        <w:jc w:val="right"/>
      </w:pPr>
      <w:r>
        <w:t xml:space="preserve">от ______ г. N ___</w:t>
      </w:r>
      <w:r/>
    </w:p>
    <w:p>
      <w:pPr>
        <w:pStyle w:val="708"/>
        <w:ind w:firstLine="540"/>
        <w:jc w:val="both"/>
      </w:pPr>
      <w:r/>
      <w:r/>
    </w:p>
    <w:p>
      <w:pPr>
        <w:pStyle w:val="710"/>
        <w:jc w:val="center"/>
        <w:rPr>
          <w:b w:val="0"/>
        </w:rPr>
      </w:pPr>
      <w:r/>
      <w:bookmarkStart w:id="0" w:name="P216"/>
      <w:r/>
      <w:bookmarkEnd w:id="0"/>
      <w:r>
        <w:rPr>
          <w:b w:val="0"/>
        </w:rPr>
        <w:t xml:space="preserve">ПЕРЕЧЕНЬ</w:t>
      </w:r>
      <w:r>
        <w:rPr>
          <w:b w:val="0"/>
        </w:rPr>
      </w:r>
    </w:p>
    <w:p>
      <w:pPr>
        <w:pStyle w:val="710"/>
        <w:jc w:val="center"/>
        <w:rPr>
          <w:b w:val="0"/>
        </w:rPr>
      </w:pPr>
      <w:r>
        <w:rPr>
          <w:b w:val="0"/>
        </w:rPr>
        <w:t xml:space="preserve">ДОКУМЕНТОВ (КОПИЙ ДОКУМЕНТОВ, СВЕДЕНИЙ), НЕОБХОДИМЫХ</w:t>
      </w:r>
      <w:r>
        <w:rPr>
          <w:b w:val="0"/>
        </w:rPr>
      </w:r>
    </w:p>
    <w:p>
      <w:pPr>
        <w:pStyle w:val="710"/>
        <w:jc w:val="center"/>
        <w:rPr>
          <w:b w:val="0"/>
        </w:rPr>
      </w:pPr>
      <w:r>
        <w:rPr>
          <w:b w:val="0"/>
        </w:rPr>
        <w:t xml:space="preserve">ДЛЯ НАЗНАЧЕНИЯ ЕЖЕГОДНОЙ СЕМЕЙНОЙ ВЫПЛАТЫ ГРАЖДАНАМ</w:t>
      </w:r>
      <w:r>
        <w:rPr>
          <w:b w:val="0"/>
        </w:rPr>
      </w:r>
    </w:p>
    <w:p>
      <w:pPr>
        <w:pStyle w:val="710"/>
        <w:jc w:val="center"/>
        <w:rPr>
          <w:b w:val="0"/>
        </w:rPr>
      </w:pPr>
      <w:r>
        <w:rPr>
          <w:b w:val="0"/>
        </w:rPr>
        <w:t xml:space="preserve">РОССИЙСКОЙ ФЕДЕРАЦИИ, ИМЕЮЩИМ ДВУХ И БОЛЕЕ ДЕТЕЙ</w:t>
      </w:r>
      <w:r>
        <w:rPr>
          <w:b w:val="0"/>
        </w:rPr>
      </w:r>
    </w:p>
    <w:p>
      <w:pPr>
        <w:pStyle w:val="708"/>
        <w:ind w:firstLine="540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37"/>
        <w:gridCol w:w="4195"/>
        <w:gridCol w:w="5272"/>
      </w:tblGrid>
      <w:tr>
        <w:tblPrEx/>
        <w:trPr/>
        <w:tc>
          <w:tcPr>
            <w:gridSpan w:val="2"/>
            <w:tcW w:w="4932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Наименование документа (сведений)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Источник документов (копий документов, сведений)/способ получения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1.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 о рождении (за исключением случаев регистрации записи соответствующего акта компетентным органом иностранного государства)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ФНС России (единый федеральный информационный регистр, содержащий сведения о населении Российской Федерации)/посредством единой системы межведомственного электронного взаимодействия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2.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 о рождении (в случае регистрации записи соответствующего акта компетентным органом иностранного государства)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ФНС России (единый федеральный информационный регистр, содержащий сведения о населении Российской Федерации)/посредством единой системы межведомственного электронного взаимодействия;</w:t>
            </w:r>
            <w:r/>
          </w:p>
          <w:p>
            <w:pPr>
              <w:pStyle w:val="708"/>
            </w:pPr>
            <w:r>
              <w:t xml:space="preserve">заявитель (в случае отсутствия сведений в едином федеральном информационном регистре, содержащем сведения о населении Российской Федерации)/посредством представления подтверждающих документов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3.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 о смерти (за исключением случаев регистрации записи соответствующего акта компетентным органом иностранного государства)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ФНС России (единый федеральный информационный регистр, содержащий сведения о населении Российской Федерации)/посредством единой системы межведомственного электронного взаимодействия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4.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 о смерти (в случае регистрации записи соответствующего акта компетентным органом иностранного государства)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ФНС России (единый федеральный информационный регистр, содержащий сведения о населении Российской Федерации)/посредством единой системы межведомственного электронного взаимодействия;</w:t>
            </w:r>
            <w:r/>
          </w:p>
          <w:p>
            <w:pPr>
              <w:pStyle w:val="708"/>
            </w:pPr>
            <w:r>
              <w:t xml:space="preserve">заявитель (в случае отсутствия сведений в едином федеральном информационном регистре, содержащем сведения о населении Российской Федерации)/посредством представления подтверждающих документов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5.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 о заключении (расторжении) брака (за исключением случаев регистрации записи соответствующего </w:t>
            </w:r>
            <w:r>
              <w:t xml:space="preserve">акта компетентным органом иностранного государства)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ФНС России (единый федеральный информационный регистр, содержащий сведения о населении Российской Федерации)/посредством </w:t>
            </w:r>
            <w:r>
              <w:t xml:space="preserve">единой системы межведомственного электронного взаимодействия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6.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 о заключении (расторжении) брака (в случае регистрации записи соответствующего акта компетентным органом иностранного государства)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ФНС России (единый федеральный информационный регистр, содержащий сведения о населении Российской Федерации)/посредством единой системы межведомственного электронного взаимодействия;</w:t>
            </w:r>
            <w:r/>
          </w:p>
          <w:p>
            <w:pPr>
              <w:pStyle w:val="708"/>
            </w:pPr>
            <w:r>
              <w:t xml:space="preserve">заявитель (в случае отсутствия сведений в едином федеральном информационном регистре, содержащем сведения о населении Российской Федерации)/посредством представления подтверждающих документов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7.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Сведения, содержащиеся в решении органа опеки и попечительства об установлении опеки или попечительства над ребенком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Социальный фонд России (государственная информационная система "Единая централизованная цифровая платформа в социальной сфере")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8.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 об опекуне (попечителе) ребенка (детей) (за исключением случая установления опеки (попечительства) компетентным органом иностранного государства)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Социальный фонд России (государственная информационная система "Единая централизованная цифровая платформа в социальной сфере")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9.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 об опекуне (попечителе) ребенка (детей) (в случае установления опеки (попечительства) компетентным органом иностранного государства)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заявитель/посредством представления подтверждающих документов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10.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Социальный фонд России (государственная информационная система "Единая централизованная цифровая платформа в социальной сфере")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11.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 об ограничении дееспособности или признании родителя либо иного законного представителя ребенка недееспособным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Социальный фонд России (государственная информационная система "Единая централизованная цифровая платформа в социальной сфере")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12.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 о вознаграждении за выполнение трудовых или иных обязанностей, включая выплаты стимулирующего характера, вознаграждении за выполненную работу, оказанную услугу, совершение действия в рамках гражданско-</w:t>
            </w:r>
            <w:r>
              <w:t xml:space="preserve">правового договора, в том числе по договору об осуществлении опеки или попечительства на возмездных условиях (договору о приемной семье, договору о патронатной семье)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ФНС России (автоматизированная информационная система "Налог-3")/посредством единой системы межведомственного электронного взаимодействия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13.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</w:t>
            </w:r>
            <w:r>
              <w:t xml:space="preserve">ния о доходах военнослужащих, граждан, пребывающих в добровольческих формированиях, сотрудников войск национальной гвардии Российской Федерации, уголовно-исполнительной системы Российской Федерации (за исключением сотрудников Главного управления по обеспеч</w:t>
            </w:r>
            <w:r>
              <w:t xml:space="preserve">ению деятельности оперативных подразделений Федеральной службы исполнения наказаний), органов принудительного исполнения Российской Федерации, таможенных органов Российской Федерации, Главного управления специальных программ Президента Российской Федерации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ФНС России (по запросу в Минобороны России, МЧС России, </w:t>
            </w:r>
            <w:r>
              <w:t xml:space="preserve">Росгвардию</w:t>
            </w:r>
            <w:r>
              <w:t xml:space="preserve">, ФСИ</w:t>
            </w:r>
            <w:r>
              <w:t xml:space="preserve">Н России (за исключением сотрудников Главного управления по обеспечению деятельности оперативных подразделений Федеральной службы исполнения наказаний), ФССП России, ФТС России, ГУСП)/посредством единой системы межведомственного электронного взаимодействия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/>
            <w:bookmarkStart w:id="1" w:name="P265"/>
            <w:r/>
            <w:bookmarkEnd w:id="1"/>
            <w:r>
              <w:t xml:space="preserve">14.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 о доходах сотрудников органов федеральной службы безопасности, органов государственной охраны Российской Федерации, органов внутренних дел Российской Федерации, Главного управления по обеспечению деятельности оперативных подразделений Федерально</w:t>
            </w:r>
            <w:r>
              <w:t xml:space="preserve">й службы исполнения наказаний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 (за исключением военнослужащих, граждан, пребывающих</w:t>
            </w:r>
            <w:r>
              <w:t xml:space="preserve"> в добровольческих формированиях, сотрудников войск национальной гвардии Российской Федерации, органов принудительного исполнения Российской Федерации, таможенных органов Российской Федерации, Главного управления специальных программ Президента Российской </w:t>
            </w:r>
            <w:r>
              <w:t xml:space="preserve">Федерации)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заявитель/посредством представления подтверждающих документов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15.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 о суммах пенсии</w:t>
            </w:r>
            <w:r>
              <w:t xml:space="preserve">, пособий и иных аналогичных выплат, в том числе выплат по обязательному социальному страхованию и выплат компенсационного характера, полученных в соответствии с законодательством Российской Федерации и (или) законодательством субъекта Российской Федерации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Социальный фонд России (государственная информационная система "Единая централизованная цифровая платформа в социальной сфере")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16.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 о размере пе</w:t>
            </w:r>
            <w:r>
              <w:t xml:space="preserve">нсии, получаемой лицами, проходящими (проходившими) военную службу, службу в учреждениях и органах уголовно-исполнительной системы Российской Федерации, органах федеральной службы безопасности, органах государственной охраны Российской Федерации, органах в</w:t>
            </w:r>
            <w:r>
              <w:t xml:space="preserve">нутренних дел Российской Федерации, таможенных органах Российской Федерации, войсках национальной гвардии Российской Федерации, органах принудительного исполнения Российской Федерации, Главном управлении специальных программ Президента Российской Федерации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заявитель/посредством представления подтверждающих документов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17.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 о выплатах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Социальный фонд России (государственная информационная система "Единая централизованная цифровая платформа в социальной сфере")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18.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 </w:t>
            </w:r>
            <w:r>
              <w:t xml:space="preserve">об осуществлении</w:t>
            </w:r>
            <w:r>
              <w:t xml:space="preserve"> оформленного в соответствии с законодательством Российской Федерации ухода за нетрудоспособными лицами в период расчета среднедушевого дохода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Социальный фонд России (государственная информационная система "Единая централизованная цифровая платформа в социальной сфере")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19.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 о дивидендах, процентах и иных доходах, полученных по операциям с ценными бумагами и операциям с производными финансовыми инструментами (с </w:t>
            </w:r>
            <w:r>
              <w:t xml:space="preserve">учетом понесенных расходов), а также в связи с участием в управлении организацией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ФНС России (автоматизированная информационная система "Налог-3")/посредством единой системы межведомственного электронного взаимодействия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20.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 о доходах в виде процентов по вкладам (остаткам на счетах) в банках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ФНС России (автоматизированная информационная система "Налог-3")/посредством единой системы межведомственного электронного взаимодействия;</w:t>
            </w:r>
            <w:r/>
          </w:p>
          <w:p>
            <w:pPr>
              <w:pStyle w:val="708"/>
            </w:pPr>
            <w:r>
              <w:t xml:space="preserve">заявитель/посредством представления подтверждающих документов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/>
            <w:bookmarkStart w:id="2" w:name="P287"/>
            <w:r/>
            <w:bookmarkEnd w:id="2"/>
            <w:r>
              <w:t xml:space="preserve">21.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</w:t>
            </w:r>
            <w:r>
              <w:t xml:space="preserve">едения о доходах от осуществления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образования юридического лица, и доходах от занятия частной практикой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ФНС России (автоматизированная информационная система "Налог-3")/посредством единой системы межведомственного электронного взаимодействия;</w:t>
            </w:r>
            <w:r/>
          </w:p>
          <w:p>
            <w:pPr>
              <w:pStyle w:val="708"/>
            </w:pPr>
            <w:r>
              <w:t xml:space="preserve">заявитель/посредством представления подтверждающих документов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22.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 о доходах, полученных в рамках применения специального налогового режима "Налог на профессиональный доход"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ФНС России (автоматизированная информационная система "Налог-3")/посредством единой системы межведомственного электронного взаимодействия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/>
            <w:bookmarkStart w:id="3" w:name="P294"/>
            <w:r/>
            <w:bookmarkEnd w:id="3"/>
            <w:r>
              <w:t xml:space="preserve">23.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 о доходах по договорам авторского заказа, об отчуждении исключительного права на результаты интеллектуальной деятельности и лицензионным договорам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ФНС России (автоматизированная информационная система "Налог-3")/посредством единой системы межведомственного электронного взаимодействия;</w:t>
            </w:r>
            <w:r/>
          </w:p>
          <w:p>
            <w:pPr>
              <w:pStyle w:val="708"/>
            </w:pPr>
            <w:r>
              <w:t xml:space="preserve">заявитель/посредством представления подтверждающих документов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24.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 о налогооблагаемых доходах от реализации имущества, а также доходах от сдачи в аренду (наем, поднаем) имущества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ФНС России (автоматизированная информационная система "Налог-3")/посредством единой системы межведомственного электронного взаимодействия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25.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 о недвижимом имуществе, содержащиеся в Едином государственном реестре недвижимости (в том числе, находящемся под арестом и (или) в отношении которого установлен запрет на регистрационные действия)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Росреестр (Единый государственный реестр недвижимости)/посредством единой системы межведомственного электронного взаимодействия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26.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 о регистрации по месту жительства и месту пребывания </w:t>
            </w:r>
            <w:r>
              <w:t xml:space="preserve">гражданина Российской Федерации в пределах Российской Федерации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МВД России (ведомственная информационная система)/посредством единой системы </w:t>
            </w:r>
            <w:r>
              <w:t xml:space="preserve">межведомственного электронного взаимодействия;</w:t>
            </w:r>
            <w:r/>
          </w:p>
          <w:p>
            <w:pPr>
              <w:pStyle w:val="708"/>
            </w:pPr>
            <w:r>
              <w:t xml:space="preserve">ФНС России (единый федеральный информационный регистр, содержащий сведения о населении Российской Федерации) посредством единой системы межведомственного электронного взаимодействия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27.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 о ранее выданных паспортах, удостоверяющих личность гражданина на территории Российской Федерации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МВД России (ведомственная информационная система)/посредством единой системы межведомственного электронного взаимодействия;</w:t>
            </w:r>
            <w:r/>
          </w:p>
          <w:p>
            <w:pPr>
              <w:pStyle w:val="708"/>
            </w:pPr>
            <w:r>
              <w:t xml:space="preserve">ФНС России (единый федеральный информационный регистр, содержащий сведения о населении Российской Федерации)/посредством единой системы межведомственного электронного взаимодействия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28.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</w:t>
            </w:r>
            <w:r>
              <w:t xml:space="preserve">я о получаемых алиментах (в случае если средства перечислены взыскателю со счета по учету средств, поступающих во временное распоряжение отдела судебных приставов, по исполнительному производству о взыскании алиментов) и о задолженности по уплате алиментов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ФССП России (ведомственная информационная система)/посредством единой системы межведомственного электронного взаимодействия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29.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 о получаемых алиментах (за исключением случая, когда средства перечислены взыскателю со счета по учету средств, поступающих во временное распоряжение отдела судебных приставов, по исполнительному производству о взыскании алиментов)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заявитель/посредством отражения суммы получаемых алиментов в заявлении (в том числе с представлением судебного решения или судебного приказа при его наличии) или посредством представления нотариально удостоверенного соглашения об уплате алиментов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30.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 об автотранспортных или </w:t>
            </w:r>
            <w:r>
              <w:t xml:space="preserve">мототранспортных</w:t>
            </w:r>
            <w:r>
              <w:t xml:space="preserve"> средствах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МВД России (ведомственная информационная система)/посредством единой системы межведомственного электронного взаимодействия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31.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 о маломерных водных судах, год выпуска которых не превышает 5 лет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МЧС России (ведомственная информационная система)/посредством единой системы межведомственного электронного взаимодействия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32.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 о пребывании в местах лишения свободы членов семьи заявителя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ФСИН России (ведомственная информационная система)/посредством единой системы межведомственного электронного взаимодействия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33.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 о наличии инвалидности и ее группе (при наличии)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Социальный фонд России (государственная информационная система "Единая централизованная цифровая платформа в социальной сфере")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34.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 о самоходных машинах и других видах техники, зарегистрированных в соответствии с </w:t>
            </w:r>
            <w:hyperlink r:id="rId11" w:tooltip="Постановление Правительства РФ от 21.09.2020 N 1507 (ред. от 17.07.2024) &quot;Об утверждении Правил государственной регистрации самоходных машин и других видов техники&quot; ------------ Недействующая редакция {КонсультантПлюс}" w:history="1">
              <w:r>
                <w:t xml:space="preserve">Правилами</w:t>
              </w:r>
            </w:hyperlink>
            <w:r>
              <w:t xml:space="preserve"> государственной регистрации самоходных машин и других видов техники, утвержденными постановлением Правительства Российской Федерации от 21 сентября 2020 г. N 1507 "Об утверждении Правил государственной регистрации самоходных машин и других видов техники"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Минсельхоз России (ведомственная информационная система)/посредством единой системы межведомственного электронного взаимодействия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35.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 о помещении с назначением "жилое" (его части), занимаемом заявителем и (или) членом его семьи, страдающим тяжелой формой хронического заболевания, предусмотренного </w:t>
            </w:r>
            <w:hyperlink r:id="rId12" w:tooltip="Приказ Минздрава России от 29.11.2012 N 987н &quot;Об утверждении перечня тяжелых форм хронических заболеваний, при которых невозможно совместное проживание граждан в одной квартире&quot; (Зарегистрировано в Минюсте России 18.02.2013 N 27154) {КонсультантПлюс}" w:history="1">
              <w:r>
                <w:t xml:space="preserve">перечнем</w:t>
              </w:r>
            </w:hyperlink>
            <w:r>
              <w:t xml:space="preserve"> тяжелых форм хрони</w:t>
            </w:r>
            <w:r>
              <w:t xml:space="preserve">ческих заболеваний, при которых невозможно совместное проживание граждан в одной квартире, утвержденным Министерством здравоохранения Российской Федерации, а также о таком помещении (его части), признанном в установленном порядке непригодным для проживания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заявитель/посредством представления подтверждающих документов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36.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 о зарегистрированном на заявителя или членов его семьи автотранспортном, </w:t>
            </w:r>
            <w:r>
              <w:t xml:space="preserve">мототранспортном</w:t>
            </w:r>
            <w:r>
              <w:t xml:space="preserve"> средстве, самоходной машине или другом виде техники, которые предоставлены уполномоченным органом субъекта Российской Федерации или муниципа</w:t>
            </w:r>
            <w:r>
              <w:t xml:space="preserve">льного образования в рамках государственной социальной поддержки или стоимость приобретения которых в полном объеме оплачена за счет денежных средств, предоставленных в рамках целевой государственной социальной поддержки на приобретение движимого имущества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заявитель/посредством представления подтверждающих документов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37.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 о факте об</w:t>
            </w:r>
            <w:r>
              <w:t xml:space="preserve">учения заявителя и (или) членов его семьи в общеобразовательной организации и профессиональной образовательной организации по очной форме обучения и получении (отсутствии) стипендии, в том числе в период, за который рассчитывается среднедушевой доход семьи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Социальный фонд России (государственная информационная система "Единая централизованная цифровая платформа в социальной сфере");</w:t>
            </w:r>
            <w:r/>
          </w:p>
          <w:p>
            <w:pPr>
              <w:pStyle w:val="708"/>
            </w:pPr>
            <w:r>
              <w:t xml:space="preserve">заявитель/посредством представления подтверждающих документов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38.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 о факте обучения заявителя и (или) членов его семьи в образовательной организации высшего образования по очной форме обучения и получении (отсутствии) стипендии, в том числе в период, за который рассчитывается среднедушевой доход семьи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заявитель/посредством представления подтверждающих документов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39.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 о нахождении заявителя и (или) членов его семьи на полном государственном обеспечении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заявитель и (или) члены его семьи/посредством представления подтверждающих документов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40.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 о прохождении заявителем и (или) члена</w:t>
            </w:r>
            <w:r>
              <w:t xml:space="preserve">ми его семьи военной службы по призыву, а также о статусе военнослужащего,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заявитель/посредством представления подтверждающих документов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41.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 о нахождении заявителя и (или) членов его семьи на принудительном лечении по решению суда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заявитель и (или) члены его семьи/посредством представления подтверждающих документов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42.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 о применении в отношении заявителя и (или) членов его семьи меры пресечения в виде заключения под стражу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ФСИН России (ведомственная информационная система)/посредством единой системы межведомственного электронного взаимодействия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43.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 о размере стипендии и иных денежных выплат, предусмотренных законодательством Российской Федерации, выплачиваемых лицам, обучающимся в профессиональных образовательных организациях и образовательных организациях </w:t>
            </w:r>
            <w:r>
              <w:t xml:space="preserve">высшего образования, лицам, обучающимся по очной форме по программа</w:t>
            </w:r>
            <w:r>
              <w:t xml:space="preserve">м подготовки научных и научно-педагогических кадров, лицам, обучающимся в духовных образовательных организациях, а также о размерах компенсационных выплат указанным категориям граждан в период их нахождения в академическом отпуске по медицинским показаниям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заявитель/посредством представления подтверждающих документов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44.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 о суммах ежемесячного пожизненного содержания судей, вышедших в отставку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заявитель/посредством представления подтверждающих документов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45.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 о суммах единовременной материал</w:t>
            </w:r>
            <w:r>
              <w:t xml:space="preserve">ьной помощи, выплачиваемой за счет средств федерального бюджета, бюджетов субъектов Российской Федерации, местных бюджетов и иных источников в связи со стихийным бедствием или другими чрезвычайными обстоятельствами, а также в связи с террористическим актом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исполнительный орган субъекта Российской Федерации, уполномоченный на осуществление таких выплат/по решению территориального органа Социального фонда России соответствующего субъекта Российской Федерации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46.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 о сумме полученной компенсации, выплачиваемой государственным органом или общественным объединением за время исполнения государственных или общественных обязанностей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заявитель/посредством представления подтверждающих документов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47.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 о суммах дохода, полученного от источников за пределами Российской Федерации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заявитель/посредством представления подтверждающих документов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48.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 о помещениях с назначением "жилое", зданиях с назначением "жилое", "жилое строение" и "жилой дом", земельном уч</w:t>
            </w:r>
            <w:r>
              <w:t xml:space="preserve">астке (земельных участках),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семьи, в том числе многодетной, или стоимость приобретения которых в полном </w:t>
            </w:r>
            <w:r>
              <w:t xml:space="preserve">объеме оплачена за счет денежных средств, предоставленных в рамках такой целевой государственной социальной поддержки на приобретение недвижимого имущества, а также о земельном участке (земельных участках), предоставленных в соответствии с Федеральным </w:t>
            </w:r>
            <w:hyperlink r:id="rId13" w:tooltip="Федеральный закон от 01.05.2016 N 119-ФЗ (ред. от 23.11.2024) &quot;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" w:history="1">
              <w:r>
                <w:t xml:space="preserve">законом</w:t>
              </w:r>
            </w:hyperlink>
            <w:r>
              <w:t xml:space="preserve"> "Об особенностях предоставления гражданам земельных участков, находящихся в госуд</w:t>
            </w:r>
            <w:r>
              <w:t xml:space="preserve">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Федерации"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заявитель/посредством представления подтверждающих документов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49.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 о размере единовременного пособия при увольнении с военной службы, службы в учреждениях и органах уголовно-исполнительной системы Российской Федерации, органах федеральной службы бе</w:t>
            </w:r>
            <w:r>
              <w:t xml:space="preserve">зопасности, органах государственной охраны Российской Федерации, органах внутренних дел Российской Федерации, таможенных органах Российской Федерации, войсках национальной гвардии Российской Федерации, органах принудительного исполнения Российской Федераци</w:t>
            </w:r>
            <w:r>
              <w:t xml:space="preserve">и, Главном управлении специальных программ Президента Российской Федерации, а также из иных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заявитель/посредством представления подтверждающих документов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50.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 о нахождении автотранспортного, </w:t>
            </w:r>
            <w:r>
              <w:t xml:space="preserve">мототранспортного</w:t>
            </w:r>
            <w:r>
              <w:t xml:space="preserve"> средства, маломерного судна, самоходной машины или другого вида техники под </w:t>
            </w:r>
            <w:r>
              <w:t xml:space="preserve">арестом и (или) в розыске, а также в отношении которых установлен запрет на регистрационные действия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заявитель/посредством представления подтверждающих документов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51.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 о полученных грантах, субсидиях и других поступлениях, имеющих целевой характер расходования и предоставляемых в рамках поддержки предпринимательства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заявитель/посредством представления подтверждающих документов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52.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 о статусе семьи "многодетная"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Социальный фонд России (государственная информационная система "Единая централизованная цифровая платформа в социальной сфере")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53.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 о доходах, полученных в результате выигрышей, выплачиваемых организаторами лотерей, тотализаторов и других основанных на риске игр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ФНС России (автоматизированная информационная система "Налог-3")/посредством единой системы межведомственного электронного взаимодействия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54.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 о лицах, признанных безвестно отсутствующими или объявленных умершими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заявитель и (или) члены его семьи/посредством представления подтверждающих документов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55.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 о нахождении заявителя и (или) членов его семьи в розыске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заявитель и (или) члены его семьи/посредством представления подтверждающих документов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56.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Нотариально удостоверенное соглашение об уплате алиментов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заявитель и (или) члены его семьи/посредством представления подтверждающих документов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57.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Сведения о сумме расчетного исчисленного налога на доходы физических лиц с доходов заявителя, полученных в году, предшествующему году обращения за назначением ежегодной семейной выплаты, о сумме, исчисленной с того же дохода в размере 6 процентов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ФНС России (автоматизированная информационная система "Налог-3")/посредством единой системы межведомственного электронного взаимодействия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708"/>
              <w:jc w:val="center"/>
            </w:pPr>
            <w:r>
              <w:t xml:space="preserve">58.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708"/>
            </w:pPr>
            <w:r>
              <w:t xml:space="preserve">Единовременная материальная помощь, выплачиваемая за счет средств федерального бюджета, бюджетов субъектов Российской Федерации, местных бюджетов и иных источников на лечение ребенка</w:t>
            </w:r>
            <w:r/>
          </w:p>
        </w:tc>
        <w:tc>
          <w:tcPr>
            <w:tcW w:w="5272" w:type="dxa"/>
            <w:textDirection w:val="lrTb"/>
            <w:noWrap w:val="false"/>
          </w:tcPr>
          <w:p>
            <w:pPr>
              <w:pStyle w:val="708"/>
            </w:pPr>
            <w:r>
              <w:t xml:space="preserve">заявитель и (или) члены его семьи/посредством представления подтверждающих документов</w:t>
            </w:r>
            <w:r/>
          </w:p>
        </w:tc>
      </w:tr>
    </w:tbl>
    <w:p>
      <w:r/>
      <w:r/>
    </w:p>
    <w:sectPr>
      <w:headerReference w:type="default" r:id="rId8"/>
      <w:footerReference w:type="default" r:id="rId9"/>
      <w:footerReference w:type="first" r:id="rId10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8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pPr>
      <w:pStyle w:val="708"/>
    </w:pPr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8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pPr>
      <w:pStyle w:val="708"/>
    </w:pPr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8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pPr>
      <w:pStyle w:val="70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5"/>
    <w:next w:val="69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5"/>
    <w:next w:val="69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5"/>
    <w:next w:val="69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5"/>
    <w:next w:val="69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5"/>
    <w:next w:val="69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5"/>
    <w:next w:val="69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5"/>
    <w:next w:val="69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5"/>
    <w:next w:val="69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5"/>
    <w:next w:val="69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5"/>
    <w:next w:val="69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6"/>
    <w:link w:val="34"/>
    <w:uiPriority w:val="10"/>
    <w:rPr>
      <w:sz w:val="48"/>
      <w:szCs w:val="48"/>
    </w:rPr>
  </w:style>
  <w:style w:type="paragraph" w:styleId="36">
    <w:name w:val="Subtitle"/>
    <w:basedOn w:val="695"/>
    <w:next w:val="69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6"/>
    <w:link w:val="36"/>
    <w:uiPriority w:val="11"/>
    <w:rPr>
      <w:sz w:val="24"/>
      <w:szCs w:val="24"/>
    </w:rPr>
  </w:style>
  <w:style w:type="paragraph" w:styleId="38">
    <w:name w:val="Quote"/>
    <w:basedOn w:val="695"/>
    <w:next w:val="69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5"/>
    <w:next w:val="69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6"/>
    <w:link w:val="717"/>
    <w:uiPriority w:val="99"/>
  </w:style>
  <w:style w:type="character" w:styleId="45">
    <w:name w:val="Footer Char"/>
    <w:basedOn w:val="696"/>
    <w:link w:val="719"/>
    <w:uiPriority w:val="99"/>
  </w:style>
  <w:style w:type="paragraph" w:styleId="46">
    <w:name w:val="Caption"/>
    <w:basedOn w:val="695"/>
    <w:next w:val="69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96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9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6"/>
    <w:uiPriority w:val="99"/>
    <w:unhideWhenUsed/>
    <w:rPr>
      <w:vertAlign w:val="superscript"/>
    </w:rPr>
  </w:style>
  <w:style w:type="paragraph" w:styleId="178">
    <w:name w:val="endnote text"/>
    <w:basedOn w:val="69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6"/>
    <w:uiPriority w:val="99"/>
    <w:semiHidden/>
    <w:unhideWhenUsed/>
    <w:rPr>
      <w:vertAlign w:val="superscript"/>
    </w:rPr>
  </w:style>
  <w:style w:type="paragraph" w:styleId="181">
    <w:name w:val="toc 1"/>
    <w:basedOn w:val="695"/>
    <w:next w:val="69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5"/>
    <w:next w:val="69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5"/>
    <w:next w:val="69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5"/>
    <w:next w:val="69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5"/>
    <w:next w:val="69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5"/>
    <w:next w:val="69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5"/>
    <w:next w:val="69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5"/>
    <w:next w:val="69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5"/>
    <w:next w:val="69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5"/>
    <w:next w:val="695"/>
    <w:uiPriority w:val="99"/>
    <w:unhideWhenUsed/>
    <w:pPr>
      <w:spacing w:after="0" w:afterAutospacing="0"/>
    </w:pPr>
  </w:style>
  <w:style w:type="paragraph" w:styleId="695" w:default="1">
    <w:name w:val="Normal"/>
    <w:qFormat/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paragraph" w:styleId="699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700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701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702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703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704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705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706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707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708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709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710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711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712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713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714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715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716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717">
    <w:name w:val="Header"/>
    <w:basedOn w:val="695"/>
    <w:link w:val="71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18" w:customStyle="1">
    <w:name w:val="Верхний колонтитул Знак"/>
    <w:basedOn w:val="696"/>
    <w:link w:val="717"/>
    <w:uiPriority w:val="99"/>
  </w:style>
  <w:style w:type="paragraph" w:styleId="719">
    <w:name w:val="Footer"/>
    <w:basedOn w:val="695"/>
    <w:link w:val="72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0" w:customStyle="1">
    <w:name w:val="Нижний колонтитул Знак"/>
    <w:basedOn w:val="696"/>
    <w:link w:val="719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hyperlink" Target="https://login.consultant.ru/link/?req=doc&amp;base=LAW&amp;n=481154&amp;date=15.08.2025&amp;dst=100016&amp;field=134" TargetMode="External"/><Relationship Id="rId12" Type="http://schemas.openxmlformats.org/officeDocument/2006/relationships/hyperlink" Target="https://login.consultant.ru/link/?req=doc&amp;base=LAW&amp;n=142524&amp;date=15.08.2025&amp;dst=100010&amp;field=134" TargetMode="External"/><Relationship Id="rId13" Type="http://schemas.openxmlformats.org/officeDocument/2006/relationships/hyperlink" Target="https://login.consultant.ru/link/?req=doc&amp;base=LAW&amp;n=482734&amp;date=15.08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>КонсультантПлюс Версия 4024.00.50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Правительства РФ
"О порядке осуществления ежегодной семейной выплаты гражданам Российской Федерации, имеющим двух и более детей"
(по состоянию на 11.04.2025)
(подготовлен Минтрудом России, ID проекта 01/01/04-25/00156131)</dc:title>
  <dc:creator>Analyst1</dc:creator>
  <cp:lastModifiedBy>Анастасия Мещ</cp:lastModifiedBy>
  <cp:revision>6</cp:revision>
  <dcterms:created xsi:type="dcterms:W3CDTF">2025-08-15T13:24:00Z</dcterms:created>
  <dcterms:modified xsi:type="dcterms:W3CDTF">2025-08-15T14:23:42Z</dcterms:modified>
</cp:coreProperties>
</file>